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FEBD8" w14:textId="77777777" w:rsidR="009E5F42" w:rsidRDefault="00846859">
      <w:pPr>
        <w:spacing w:after="0" w:line="240" w:lineRule="auto"/>
        <w:jc w:val="right"/>
        <w:rPr>
          <w:rFonts w:ascii="Arial" w:hAnsi="Arial" w:cs="Arial"/>
          <w:b/>
        </w:rPr>
      </w:pPr>
      <w:r>
        <w:rPr>
          <w:rFonts w:ascii="Arial" w:hAnsi="Arial" w:cs="Arial"/>
          <w:b/>
        </w:rPr>
        <w:t>Zusätzliche Vertragsbedingungen</w:t>
      </w:r>
    </w:p>
    <w:p w14:paraId="79B7B62D" w14:textId="77777777" w:rsidR="009E5F42" w:rsidRDefault="009E5F42">
      <w:pPr>
        <w:spacing w:after="0" w:line="240" w:lineRule="auto"/>
        <w:jc w:val="both"/>
        <w:rPr>
          <w:rFonts w:ascii="Arial" w:hAnsi="Arial" w:cs="Arial"/>
          <w:b/>
        </w:rPr>
      </w:pPr>
    </w:p>
    <w:p w14:paraId="4C304572" w14:textId="77777777" w:rsidR="009E5F42" w:rsidRDefault="009E5F42">
      <w:pPr>
        <w:tabs>
          <w:tab w:val="left" w:pos="993"/>
        </w:tabs>
        <w:spacing w:after="0" w:line="240" w:lineRule="auto"/>
        <w:jc w:val="both"/>
        <w:rPr>
          <w:rFonts w:ascii="Arial" w:hAnsi="Arial" w:cs="Arial"/>
          <w:b/>
          <w:sz w:val="20"/>
          <w:szCs w:val="20"/>
        </w:rPr>
      </w:pPr>
    </w:p>
    <w:p w14:paraId="72E4F550" w14:textId="77777777" w:rsidR="009E5F42" w:rsidRDefault="00846859">
      <w:pPr>
        <w:tabs>
          <w:tab w:val="left" w:pos="993"/>
        </w:tabs>
        <w:spacing w:after="0" w:line="240" w:lineRule="auto"/>
        <w:jc w:val="both"/>
        <w:rPr>
          <w:rFonts w:ascii="Arial" w:hAnsi="Arial" w:cs="Arial"/>
          <w:b/>
          <w:sz w:val="20"/>
          <w:szCs w:val="20"/>
        </w:rPr>
      </w:pPr>
      <w:r>
        <w:rPr>
          <w:rFonts w:ascii="Arial" w:hAnsi="Arial" w:cs="Arial"/>
          <w:b/>
          <w:sz w:val="20"/>
          <w:szCs w:val="20"/>
        </w:rPr>
        <w:t>Zusätzliche Vertragsbedingungen</w:t>
      </w:r>
    </w:p>
    <w:p w14:paraId="54A3E22A" w14:textId="77777777" w:rsidR="009E5F42" w:rsidRDefault="00846859">
      <w:pPr>
        <w:tabs>
          <w:tab w:val="left" w:pos="993"/>
        </w:tabs>
        <w:spacing w:after="0" w:line="240" w:lineRule="auto"/>
        <w:jc w:val="both"/>
        <w:rPr>
          <w:rFonts w:ascii="Arial" w:hAnsi="Arial" w:cs="Arial"/>
          <w:sz w:val="20"/>
          <w:szCs w:val="20"/>
        </w:rPr>
      </w:pPr>
      <w:r>
        <w:rPr>
          <w:rFonts w:ascii="Arial" w:hAnsi="Arial" w:cs="Arial"/>
          <w:sz w:val="20"/>
          <w:szCs w:val="20"/>
        </w:rPr>
        <w:t>für die Ausführung von Leistungen</w:t>
      </w:r>
    </w:p>
    <w:p w14:paraId="2E2858E0" w14:textId="77777777" w:rsidR="009E5F42" w:rsidRDefault="00846859">
      <w:pPr>
        <w:tabs>
          <w:tab w:val="left" w:pos="993"/>
        </w:tabs>
        <w:spacing w:after="0" w:line="240" w:lineRule="auto"/>
        <w:jc w:val="both"/>
        <w:rPr>
          <w:rFonts w:ascii="Arial" w:hAnsi="Arial" w:cs="Arial"/>
          <w:sz w:val="20"/>
          <w:szCs w:val="20"/>
        </w:rPr>
      </w:pPr>
      <w:r>
        <w:rPr>
          <w:rFonts w:ascii="Arial" w:hAnsi="Arial" w:cs="Arial"/>
          <w:sz w:val="20"/>
          <w:szCs w:val="20"/>
        </w:rPr>
        <w:t>Die Paragraphen beziehen sich auf die Allgemeinen Vertragsbedingungen für die Ausführung von Leistungen (VOL/B).</w:t>
      </w:r>
    </w:p>
    <w:p w14:paraId="5CE64744" w14:textId="77777777" w:rsidR="009E5F42" w:rsidRDefault="009E5F42">
      <w:pPr>
        <w:spacing w:after="0" w:line="240" w:lineRule="auto"/>
        <w:jc w:val="both"/>
        <w:rPr>
          <w:rFonts w:ascii="Arial" w:hAnsi="Arial" w:cs="Arial"/>
          <w:b/>
          <w:sz w:val="20"/>
          <w:szCs w:val="20"/>
        </w:rPr>
      </w:pPr>
    </w:p>
    <w:p w14:paraId="0948D6E5"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w:t>
      </w:r>
      <w:r>
        <w:rPr>
          <w:rFonts w:ascii="Arial" w:hAnsi="Arial" w:cs="Arial"/>
          <w:b/>
          <w:sz w:val="20"/>
          <w:szCs w:val="20"/>
        </w:rPr>
        <w:tab/>
        <w:t>Art und Umfang der Leistungen (§ 1)</w:t>
      </w:r>
    </w:p>
    <w:p w14:paraId="4A68C4D7"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Die vereinbarten Preise enthalten auch die Kosten für Verpackung, Aufladen, Beförderung bis zur Anlieferungs- oder Annahmestelle und Abladen, wenn in der Leistungsbeschreibung nicht andres angegeben ist.</w:t>
      </w:r>
    </w:p>
    <w:p w14:paraId="3054480B" w14:textId="77777777" w:rsidR="009E5F42" w:rsidRDefault="009E5F42">
      <w:pPr>
        <w:spacing w:after="0" w:line="240" w:lineRule="auto"/>
        <w:ind w:left="426"/>
        <w:jc w:val="both"/>
        <w:rPr>
          <w:rFonts w:ascii="Arial" w:hAnsi="Arial" w:cs="Arial"/>
          <w:sz w:val="20"/>
          <w:szCs w:val="20"/>
        </w:rPr>
      </w:pPr>
    </w:p>
    <w:p w14:paraId="2C5CA2F7"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Der Auftragnehmer hat Packstoffe zurückzunehmen und ggf. auf seine Kosten zu beseitigen. Etwaige Patentgebühren und Lizenzvergütungen sind durch den Preis für die Leistung abgegolten.</w:t>
      </w:r>
    </w:p>
    <w:p w14:paraId="78E4B6D1" w14:textId="77777777" w:rsidR="009E5F42" w:rsidRDefault="009E5F42">
      <w:pPr>
        <w:spacing w:after="0" w:line="240" w:lineRule="auto"/>
        <w:ind w:left="426"/>
        <w:jc w:val="both"/>
        <w:rPr>
          <w:rFonts w:ascii="Arial" w:hAnsi="Arial" w:cs="Arial"/>
          <w:sz w:val="20"/>
          <w:szCs w:val="20"/>
        </w:rPr>
      </w:pPr>
    </w:p>
    <w:p w14:paraId="79466F00"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2</w:t>
      </w:r>
      <w:r>
        <w:rPr>
          <w:rFonts w:ascii="Arial" w:hAnsi="Arial" w:cs="Arial"/>
          <w:b/>
          <w:sz w:val="20"/>
          <w:szCs w:val="20"/>
        </w:rPr>
        <w:tab/>
        <w:t>Einheitspreise</w:t>
      </w:r>
    </w:p>
    <w:p w14:paraId="1E1D559A"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Der Einheitspreis ist der vertragliche Preis, auch wenn im Angebot der Gesamtbetrag einer Ordnungszahl (Position) nicht dem Ergebnis der Multiplikation von Mengenansatz und Einheitspreis entspricht.</w:t>
      </w:r>
    </w:p>
    <w:p w14:paraId="6669BF7F" w14:textId="77777777" w:rsidR="009E5F42" w:rsidRDefault="009E5F42">
      <w:pPr>
        <w:spacing w:after="0" w:line="240" w:lineRule="auto"/>
        <w:ind w:left="426"/>
        <w:jc w:val="both"/>
        <w:rPr>
          <w:rFonts w:ascii="Arial" w:hAnsi="Arial" w:cs="Arial"/>
          <w:sz w:val="20"/>
          <w:szCs w:val="20"/>
        </w:rPr>
      </w:pPr>
    </w:p>
    <w:p w14:paraId="01E46114"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3</w:t>
      </w:r>
      <w:r>
        <w:rPr>
          <w:rFonts w:ascii="Arial" w:hAnsi="Arial" w:cs="Arial"/>
          <w:b/>
          <w:sz w:val="20"/>
          <w:szCs w:val="20"/>
        </w:rPr>
        <w:tab/>
      </w:r>
      <w:r>
        <w:rPr>
          <w:rFonts w:ascii="Arial" w:hAnsi="Arial" w:cs="Arial"/>
          <w:b/>
          <w:sz w:val="20"/>
          <w:szCs w:val="20"/>
        </w:rPr>
        <w:t>Änderung der Leistung (§ 2 Nr. 3)</w:t>
      </w:r>
    </w:p>
    <w:p w14:paraId="316CEBFF"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3.1</w:t>
      </w:r>
      <w:r>
        <w:rPr>
          <w:rFonts w:ascii="Arial" w:hAnsi="Arial" w:cs="Arial"/>
          <w:sz w:val="20"/>
          <w:szCs w:val="20"/>
        </w:rPr>
        <w:tab/>
        <w:t>Beansprucht Der Auftragnehmer aufgrund von § 2 Nr. 3 eine erhöhte Vergütung, muss er dies dem Auftraggeber unverzüglich - möglichst vor Ausführung der Leistung und möglichst der Höhe nach - schriftlich mitteilen.</w:t>
      </w:r>
    </w:p>
    <w:p w14:paraId="3AA6642A" w14:textId="77777777" w:rsidR="009E5F42" w:rsidRDefault="009E5F42">
      <w:pPr>
        <w:spacing w:after="0" w:line="240" w:lineRule="auto"/>
        <w:ind w:left="426"/>
        <w:jc w:val="both"/>
        <w:rPr>
          <w:rFonts w:ascii="Arial" w:hAnsi="Arial" w:cs="Arial"/>
          <w:sz w:val="20"/>
          <w:szCs w:val="20"/>
        </w:rPr>
      </w:pPr>
    </w:p>
    <w:p w14:paraId="1C5D7787"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3.2</w:t>
      </w:r>
      <w:r>
        <w:rPr>
          <w:rFonts w:ascii="Arial" w:hAnsi="Arial" w:cs="Arial"/>
          <w:sz w:val="20"/>
          <w:szCs w:val="20"/>
        </w:rPr>
        <w:tab/>
        <w:t>Der Auftragnehmer hat auf Verlangen die durch die Änderung der Leistung bedingten Mehr- oder Minderkosten nachzuweisen.</w:t>
      </w:r>
    </w:p>
    <w:p w14:paraId="48BF2878" w14:textId="77777777" w:rsidR="009E5F42" w:rsidRDefault="009E5F42">
      <w:pPr>
        <w:spacing w:after="0" w:line="240" w:lineRule="auto"/>
        <w:ind w:left="426"/>
        <w:jc w:val="both"/>
        <w:rPr>
          <w:rFonts w:ascii="Arial" w:hAnsi="Arial" w:cs="Arial"/>
          <w:sz w:val="20"/>
          <w:szCs w:val="20"/>
        </w:rPr>
      </w:pPr>
    </w:p>
    <w:p w14:paraId="688066CC"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4</w:t>
      </w:r>
      <w:r>
        <w:rPr>
          <w:rFonts w:ascii="Arial" w:hAnsi="Arial" w:cs="Arial"/>
          <w:b/>
          <w:sz w:val="20"/>
          <w:szCs w:val="20"/>
        </w:rPr>
        <w:tab/>
        <w:t>Ausführungsunterlagen (§ 3)</w:t>
      </w:r>
    </w:p>
    <w:p w14:paraId="20F48CD5"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Der Ausführung dürfen nur Unterlagen zugrunde gelegt werden, die vom Auftraggeber als zur Ausführung bestimmt gekennzeichnet sind.</w:t>
      </w:r>
    </w:p>
    <w:p w14:paraId="60CB905B" w14:textId="77777777" w:rsidR="009E5F42" w:rsidRDefault="009E5F42">
      <w:pPr>
        <w:spacing w:after="0" w:line="240" w:lineRule="auto"/>
        <w:ind w:left="426"/>
        <w:jc w:val="both"/>
        <w:rPr>
          <w:rFonts w:ascii="Arial" w:hAnsi="Arial" w:cs="Arial"/>
          <w:sz w:val="20"/>
          <w:szCs w:val="20"/>
        </w:rPr>
      </w:pPr>
    </w:p>
    <w:p w14:paraId="7C6DF01C"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5</w:t>
      </w:r>
      <w:r>
        <w:rPr>
          <w:rFonts w:ascii="Arial" w:hAnsi="Arial" w:cs="Arial"/>
          <w:b/>
          <w:sz w:val="20"/>
          <w:szCs w:val="20"/>
        </w:rPr>
        <w:tab/>
        <w:t>Ausführung der Leistung (§ 4)</w:t>
      </w:r>
    </w:p>
    <w:p w14:paraId="20A16872"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Der Auftraggeber kann sich über die vertragsgemäße Ausführung der Leistung unterrichten.</w:t>
      </w:r>
    </w:p>
    <w:p w14:paraId="6B30A412" w14:textId="77777777" w:rsidR="009E5F42" w:rsidRDefault="009E5F42">
      <w:pPr>
        <w:spacing w:after="0" w:line="240" w:lineRule="auto"/>
        <w:ind w:left="426"/>
        <w:jc w:val="both"/>
        <w:rPr>
          <w:rFonts w:ascii="Arial" w:hAnsi="Arial" w:cs="Arial"/>
          <w:sz w:val="20"/>
          <w:szCs w:val="20"/>
        </w:rPr>
      </w:pPr>
    </w:p>
    <w:p w14:paraId="44132B65"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6</w:t>
      </w:r>
      <w:r>
        <w:rPr>
          <w:rFonts w:ascii="Arial" w:hAnsi="Arial" w:cs="Arial"/>
          <w:b/>
          <w:sz w:val="20"/>
          <w:szCs w:val="20"/>
        </w:rPr>
        <w:tab/>
        <w:t>Kündigung aus wichtigem Grund (§ 8)</w:t>
      </w:r>
    </w:p>
    <w:p w14:paraId="2E74880D"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Ein wichtiger Grund liegt auch vor, wenn der Auftragnehmer Personen, die auf Seiten des Auftraggebers mit der Vorbereitung, dem Abschluss oder der Durchführung des Vertrages befasst sind oder ihnen nahestehenden Personen Vorteile anbietet, verspricht oder gewährt. Solchen Handlungen des Auftragnehmers selbst stehen Handlungen von Personen gleich, die von ihm beauftragt oder für ihn tätig sind. Dabei ist es gleichgültig, ob die Vorteile den vorgenannten Personen oder in ihrem Interesse einem Dritten angebote</w:t>
      </w:r>
      <w:r>
        <w:rPr>
          <w:rFonts w:ascii="Arial" w:hAnsi="Arial" w:cs="Arial"/>
          <w:sz w:val="20"/>
          <w:szCs w:val="20"/>
        </w:rPr>
        <w:t>n, versprochen oder gewährt werden.</w:t>
      </w:r>
    </w:p>
    <w:p w14:paraId="479423B4" w14:textId="77777777" w:rsidR="009E5F42" w:rsidRDefault="009E5F42">
      <w:pPr>
        <w:spacing w:after="0" w:line="240" w:lineRule="auto"/>
        <w:ind w:left="426"/>
        <w:jc w:val="both"/>
        <w:rPr>
          <w:rFonts w:ascii="Arial" w:hAnsi="Arial" w:cs="Arial"/>
          <w:sz w:val="20"/>
          <w:szCs w:val="20"/>
        </w:rPr>
      </w:pPr>
    </w:p>
    <w:p w14:paraId="192A8716"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7</w:t>
      </w:r>
      <w:r>
        <w:rPr>
          <w:rFonts w:ascii="Arial" w:hAnsi="Arial" w:cs="Arial"/>
          <w:b/>
          <w:sz w:val="20"/>
          <w:szCs w:val="20"/>
        </w:rPr>
        <w:tab/>
        <w:t>Wettbewerbsbeschränkungen (§ 8 Nr. 2)</w:t>
      </w:r>
    </w:p>
    <w:p w14:paraId="0F8D108A"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Wenn der Auftragnehmer aus Anlass der Vergabe nachweislich eine Abrede getroffen hat, die eine unzulässige Wettbewerbsbeschränkung darstellt, hat er 15 v. H. der Auftragssumme an den Auftraggeber zu zahlen, es sei denn, dass ein Schaden in anderer Höhe nachgewiesen wird.</w:t>
      </w:r>
    </w:p>
    <w:p w14:paraId="31C044CB" w14:textId="77777777" w:rsidR="009E5F42" w:rsidRDefault="009E5F42">
      <w:pPr>
        <w:spacing w:after="0" w:line="240" w:lineRule="auto"/>
        <w:ind w:left="426"/>
        <w:jc w:val="both"/>
        <w:rPr>
          <w:rFonts w:ascii="Arial" w:hAnsi="Arial" w:cs="Arial"/>
          <w:sz w:val="20"/>
          <w:szCs w:val="20"/>
        </w:rPr>
      </w:pPr>
    </w:p>
    <w:p w14:paraId="381BDE3D"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Dies gilt auch, wenn der Vertrag gekündigt wird oder bereits erfüllt ist.</w:t>
      </w:r>
    </w:p>
    <w:p w14:paraId="2029905F" w14:textId="77777777" w:rsidR="009E5F42" w:rsidRDefault="009E5F42">
      <w:pPr>
        <w:spacing w:after="0" w:line="240" w:lineRule="auto"/>
        <w:ind w:left="426"/>
        <w:jc w:val="both"/>
        <w:rPr>
          <w:rFonts w:ascii="Arial" w:hAnsi="Arial" w:cs="Arial"/>
          <w:sz w:val="20"/>
          <w:szCs w:val="20"/>
        </w:rPr>
      </w:pPr>
    </w:p>
    <w:p w14:paraId="7594478D"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Sonstige vertragliche oder gesetzliche Ansprüche des Auftraggebers, insbesondere solche aus § 8 Nr. 2, bleiben unberührt.</w:t>
      </w:r>
    </w:p>
    <w:p w14:paraId="5489F185" w14:textId="77777777" w:rsidR="009E5F42" w:rsidRDefault="009E5F42">
      <w:pPr>
        <w:spacing w:after="0" w:line="240" w:lineRule="auto"/>
        <w:ind w:left="426"/>
        <w:jc w:val="both"/>
        <w:rPr>
          <w:rFonts w:ascii="Arial" w:hAnsi="Arial" w:cs="Arial"/>
          <w:sz w:val="20"/>
          <w:szCs w:val="20"/>
        </w:rPr>
      </w:pPr>
    </w:p>
    <w:p w14:paraId="4B035A8D"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8</w:t>
      </w:r>
      <w:r>
        <w:rPr>
          <w:rFonts w:ascii="Arial" w:hAnsi="Arial" w:cs="Arial"/>
          <w:b/>
          <w:sz w:val="20"/>
          <w:szCs w:val="20"/>
        </w:rPr>
        <w:tab/>
        <w:t>Güteprüfung (§ 12 Nr. 2)</w:t>
      </w:r>
    </w:p>
    <w:p w14:paraId="5AB5A7E4"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Verlangt der Auftraggeber eine im Vertrag nicht vereinbarte Güteprüfung, werden dem Auftragnehmer die dadurch entstandenen Kosten erstattet.</w:t>
      </w:r>
    </w:p>
    <w:p w14:paraId="05F6B969" w14:textId="77777777" w:rsidR="009E5F42" w:rsidRDefault="009E5F42">
      <w:pPr>
        <w:spacing w:after="0" w:line="240" w:lineRule="auto"/>
        <w:ind w:left="426"/>
        <w:jc w:val="both"/>
        <w:rPr>
          <w:rFonts w:ascii="Arial" w:hAnsi="Arial" w:cs="Arial"/>
          <w:sz w:val="20"/>
          <w:szCs w:val="20"/>
        </w:rPr>
      </w:pPr>
    </w:p>
    <w:p w14:paraId="6533B3FB" w14:textId="77777777" w:rsidR="009E5F42" w:rsidRDefault="009E5F42">
      <w:pPr>
        <w:spacing w:after="0" w:line="240" w:lineRule="auto"/>
        <w:ind w:left="426"/>
        <w:jc w:val="both"/>
        <w:rPr>
          <w:rFonts w:ascii="Arial" w:hAnsi="Arial" w:cs="Arial"/>
          <w:sz w:val="20"/>
          <w:szCs w:val="20"/>
        </w:rPr>
      </w:pPr>
    </w:p>
    <w:p w14:paraId="0B8C7EED"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9</w:t>
      </w:r>
      <w:r>
        <w:rPr>
          <w:rFonts w:ascii="Arial" w:hAnsi="Arial" w:cs="Arial"/>
          <w:b/>
          <w:sz w:val="20"/>
          <w:szCs w:val="20"/>
        </w:rPr>
        <w:tab/>
        <w:t>Abnahme (§ 13)</w:t>
      </w:r>
    </w:p>
    <w:p w14:paraId="27EDFC4D" w14:textId="77777777" w:rsidR="009E5F42" w:rsidRDefault="00846859">
      <w:pPr>
        <w:tabs>
          <w:tab w:val="left" w:pos="709"/>
        </w:tabs>
        <w:spacing w:after="0" w:line="240" w:lineRule="auto"/>
        <w:ind w:left="426" w:hanging="426"/>
        <w:jc w:val="both"/>
        <w:rPr>
          <w:rFonts w:ascii="Arial" w:hAnsi="Arial" w:cs="Arial"/>
          <w:sz w:val="20"/>
          <w:szCs w:val="20"/>
        </w:rPr>
      </w:pPr>
      <w:r>
        <w:rPr>
          <w:rFonts w:ascii="Arial" w:hAnsi="Arial" w:cs="Arial"/>
          <w:sz w:val="20"/>
          <w:szCs w:val="20"/>
        </w:rPr>
        <w:t>9.1</w:t>
      </w:r>
      <w:r>
        <w:rPr>
          <w:rFonts w:ascii="Arial" w:hAnsi="Arial" w:cs="Arial"/>
          <w:sz w:val="20"/>
          <w:szCs w:val="20"/>
        </w:rPr>
        <w:tab/>
      </w:r>
      <w:r>
        <w:rPr>
          <w:rFonts w:ascii="Arial" w:hAnsi="Arial" w:cs="Arial"/>
          <w:sz w:val="20"/>
          <w:szCs w:val="20"/>
        </w:rPr>
        <w:t>Die Lieferung oder Leistung wird förmlich abgenommen.</w:t>
      </w:r>
    </w:p>
    <w:p w14:paraId="6FF4E445" w14:textId="77777777" w:rsidR="009E5F42" w:rsidRDefault="009E5F42">
      <w:pPr>
        <w:tabs>
          <w:tab w:val="left" w:pos="709"/>
        </w:tabs>
        <w:spacing w:after="0" w:line="240" w:lineRule="auto"/>
        <w:ind w:left="426"/>
        <w:jc w:val="both"/>
        <w:rPr>
          <w:rFonts w:ascii="Arial" w:hAnsi="Arial" w:cs="Arial"/>
          <w:sz w:val="20"/>
          <w:szCs w:val="20"/>
        </w:rPr>
      </w:pPr>
    </w:p>
    <w:p w14:paraId="20E62427" w14:textId="77777777" w:rsidR="009E5F42" w:rsidRDefault="00846859">
      <w:pPr>
        <w:tabs>
          <w:tab w:val="left" w:pos="709"/>
        </w:tabs>
        <w:spacing w:after="0" w:line="240" w:lineRule="auto"/>
        <w:ind w:left="426" w:hanging="426"/>
        <w:jc w:val="both"/>
        <w:rPr>
          <w:rFonts w:ascii="Arial" w:hAnsi="Arial" w:cs="Arial"/>
          <w:sz w:val="20"/>
          <w:szCs w:val="20"/>
        </w:rPr>
      </w:pPr>
      <w:r>
        <w:rPr>
          <w:rFonts w:ascii="Arial" w:hAnsi="Arial" w:cs="Arial"/>
          <w:sz w:val="20"/>
          <w:szCs w:val="20"/>
        </w:rPr>
        <w:t>9.2</w:t>
      </w:r>
      <w:r>
        <w:rPr>
          <w:rFonts w:ascii="Arial" w:hAnsi="Arial" w:cs="Arial"/>
          <w:sz w:val="20"/>
          <w:szCs w:val="20"/>
        </w:rPr>
        <w:tab/>
        <w:t>Die Gefahr geht - wenn nichts Anderes vereinbar ist - auf den Auftraggeber über</w:t>
      </w:r>
    </w:p>
    <w:p w14:paraId="3805B406" w14:textId="77777777" w:rsidR="009E5F42" w:rsidRDefault="00846859">
      <w:pPr>
        <w:pStyle w:val="Listenabsatz"/>
        <w:numPr>
          <w:ilvl w:val="0"/>
          <w:numId w:val="1"/>
        </w:numPr>
        <w:spacing w:after="0" w:line="240" w:lineRule="auto"/>
        <w:ind w:left="709" w:hanging="283"/>
        <w:jc w:val="both"/>
        <w:rPr>
          <w:rFonts w:ascii="Arial" w:hAnsi="Arial" w:cs="Arial"/>
          <w:sz w:val="20"/>
          <w:szCs w:val="20"/>
        </w:rPr>
      </w:pPr>
      <w:r>
        <w:rPr>
          <w:rFonts w:ascii="Arial" w:hAnsi="Arial" w:cs="Arial"/>
          <w:sz w:val="20"/>
          <w:szCs w:val="20"/>
        </w:rPr>
        <w:t>bei Lieferleistungen mit der Übernahme an der Anlieferungsstelle,</w:t>
      </w:r>
    </w:p>
    <w:p w14:paraId="4DD82B70" w14:textId="77777777" w:rsidR="009E5F42" w:rsidRDefault="00846859">
      <w:pPr>
        <w:pStyle w:val="Listenabsatz"/>
        <w:numPr>
          <w:ilvl w:val="0"/>
          <w:numId w:val="1"/>
        </w:numPr>
        <w:spacing w:after="0" w:line="240" w:lineRule="auto"/>
        <w:ind w:left="709" w:hanging="283"/>
        <w:jc w:val="both"/>
        <w:rPr>
          <w:rFonts w:ascii="Arial" w:hAnsi="Arial" w:cs="Arial"/>
          <w:sz w:val="20"/>
          <w:szCs w:val="20"/>
        </w:rPr>
      </w:pPr>
      <w:r>
        <w:rPr>
          <w:rFonts w:ascii="Arial" w:hAnsi="Arial" w:cs="Arial"/>
          <w:sz w:val="20"/>
          <w:szCs w:val="20"/>
        </w:rPr>
        <w:t>bei Aufbauleistungen mit der Abnahme.</w:t>
      </w:r>
    </w:p>
    <w:p w14:paraId="790738AF" w14:textId="77777777" w:rsidR="009E5F42" w:rsidRDefault="009E5F42">
      <w:pPr>
        <w:spacing w:after="0" w:line="240" w:lineRule="auto"/>
        <w:ind w:left="426"/>
        <w:jc w:val="both"/>
        <w:rPr>
          <w:rFonts w:ascii="Arial" w:hAnsi="Arial" w:cs="Arial"/>
          <w:sz w:val="20"/>
          <w:szCs w:val="20"/>
        </w:rPr>
      </w:pPr>
    </w:p>
    <w:p w14:paraId="251678FA"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10</w:t>
      </w:r>
      <w:r>
        <w:rPr>
          <w:rFonts w:ascii="Arial" w:hAnsi="Arial" w:cs="Arial"/>
          <w:b/>
          <w:sz w:val="20"/>
          <w:szCs w:val="20"/>
        </w:rPr>
        <w:tab/>
        <w:t>Mängelansprüche (§ 14)</w:t>
      </w:r>
    </w:p>
    <w:p w14:paraId="6A2BDBC5"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Die Verjährungsfrist für Mängelansprüche beginnt mit der Abnahme der Leistung.</w:t>
      </w:r>
    </w:p>
    <w:p w14:paraId="2F9B0350" w14:textId="77777777" w:rsidR="009E5F42" w:rsidRDefault="009E5F42">
      <w:pPr>
        <w:spacing w:after="0" w:line="240" w:lineRule="auto"/>
        <w:ind w:left="426"/>
        <w:jc w:val="both"/>
        <w:rPr>
          <w:rFonts w:ascii="Arial" w:hAnsi="Arial" w:cs="Arial"/>
          <w:sz w:val="20"/>
          <w:szCs w:val="20"/>
        </w:rPr>
      </w:pPr>
    </w:p>
    <w:p w14:paraId="68DAD95E"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11</w:t>
      </w:r>
      <w:r>
        <w:rPr>
          <w:rFonts w:ascii="Arial" w:hAnsi="Arial" w:cs="Arial"/>
          <w:b/>
          <w:sz w:val="20"/>
          <w:szCs w:val="20"/>
        </w:rPr>
        <w:tab/>
        <w:t>Rechnungen (§§ 15 und 17)</w:t>
      </w:r>
    </w:p>
    <w:p w14:paraId="2ED1EC07"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11.1</w:t>
      </w:r>
      <w:r>
        <w:rPr>
          <w:rFonts w:ascii="Arial" w:hAnsi="Arial" w:cs="Arial"/>
          <w:sz w:val="20"/>
          <w:szCs w:val="20"/>
        </w:rPr>
        <w:tab/>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6588C34" w14:textId="77777777" w:rsidR="009E5F42" w:rsidRDefault="009E5F42">
      <w:pPr>
        <w:spacing w:after="0" w:line="240" w:lineRule="auto"/>
        <w:ind w:left="426"/>
        <w:jc w:val="both"/>
        <w:rPr>
          <w:rFonts w:ascii="Arial" w:hAnsi="Arial" w:cs="Arial"/>
          <w:sz w:val="20"/>
          <w:szCs w:val="20"/>
        </w:rPr>
      </w:pPr>
    </w:p>
    <w:p w14:paraId="4E07818E"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Beim Überschreiten von Vertragsfristen, die der Auftragnehmer zu vertreten hat, wird die Differenz zwischen dem aktuellen Umsatzsteuerbetrag und dem bei Fristablauf maßgebenden Umsatzsteuerbetrag nicht erstattet.</w:t>
      </w:r>
    </w:p>
    <w:p w14:paraId="1101F630" w14:textId="77777777" w:rsidR="009E5F42" w:rsidRDefault="009E5F42">
      <w:pPr>
        <w:spacing w:after="0" w:line="240" w:lineRule="auto"/>
        <w:ind w:left="426"/>
        <w:jc w:val="both"/>
        <w:rPr>
          <w:rFonts w:ascii="Arial" w:hAnsi="Arial" w:cs="Arial"/>
          <w:sz w:val="20"/>
          <w:szCs w:val="20"/>
        </w:rPr>
      </w:pPr>
    </w:p>
    <w:p w14:paraId="134E3B80"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11.2</w:t>
      </w:r>
      <w:r>
        <w:rPr>
          <w:rFonts w:ascii="Arial" w:hAnsi="Arial" w:cs="Arial"/>
          <w:sz w:val="20"/>
          <w:szCs w:val="20"/>
        </w:rPr>
        <w:tab/>
        <w:t>In jeder Rechnung sind Umfang und Wert aller bisherigen Leistungen und die bereits erhaltenen Zahlungen mit gesondertem Ausweis der darin enthaltenen Umsatzsteuerbeträge anzugeben.</w:t>
      </w:r>
    </w:p>
    <w:p w14:paraId="3B4D497C" w14:textId="77777777" w:rsidR="009E5F42" w:rsidRDefault="009E5F42">
      <w:pPr>
        <w:spacing w:after="0" w:line="240" w:lineRule="auto"/>
        <w:ind w:left="426"/>
        <w:jc w:val="both"/>
        <w:rPr>
          <w:rFonts w:ascii="Arial" w:hAnsi="Arial" w:cs="Arial"/>
          <w:sz w:val="20"/>
          <w:szCs w:val="20"/>
        </w:rPr>
      </w:pPr>
    </w:p>
    <w:p w14:paraId="1F08E56D"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12</w:t>
      </w:r>
      <w:r>
        <w:rPr>
          <w:rFonts w:ascii="Arial" w:hAnsi="Arial" w:cs="Arial"/>
          <w:b/>
          <w:sz w:val="20"/>
          <w:szCs w:val="20"/>
        </w:rPr>
        <w:tab/>
        <w:t>Leistungen nach Stundenverrechnungssätzen (§ 16)</w:t>
      </w:r>
    </w:p>
    <w:p w14:paraId="33565619"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Der Auftragnehmer hat über Leistungen nach Stundenverrechnungssätzen arbeitstäglich Listen in zweifacher Ausfertigung einzureichen. Diese müssen</w:t>
      </w:r>
    </w:p>
    <w:p w14:paraId="1231CC36"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das Datum,</w:t>
      </w:r>
    </w:p>
    <w:p w14:paraId="1B73DFE7"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die genaue Bezeichnung des Ausführungsortes,</w:t>
      </w:r>
    </w:p>
    <w:p w14:paraId="476161CE"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die Art der Leistung,</w:t>
      </w:r>
    </w:p>
    <w:p w14:paraId="7DF20136"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die Namen der Arbeitskräfte und deren Berufs-, Lohn.- oder Gehaltsgruppe,</w:t>
      </w:r>
    </w:p>
    <w:p w14:paraId="48256B9A"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die geleisteten Arbeitsstunden je Arbeitskraft, ggf. aufgegliedert nach Mehr-, Nacht-, Sonntags- und Feiertagsarbeit, sowie nach im Verrechnungssatz nicht enthaltenen Erschwernissen und</w:t>
      </w:r>
    </w:p>
    <w:p w14:paraId="5E9DDDDE" w14:textId="77777777" w:rsidR="009E5F42" w:rsidRDefault="00846859">
      <w:pPr>
        <w:pStyle w:val="Listenabsatz"/>
        <w:numPr>
          <w:ilvl w:val="0"/>
          <w:numId w:val="2"/>
        </w:numPr>
        <w:spacing w:after="0" w:line="240" w:lineRule="auto"/>
        <w:ind w:left="709" w:hanging="284"/>
        <w:jc w:val="both"/>
        <w:rPr>
          <w:rFonts w:ascii="Arial" w:hAnsi="Arial" w:cs="Arial"/>
          <w:sz w:val="20"/>
          <w:szCs w:val="20"/>
        </w:rPr>
      </w:pPr>
      <w:r>
        <w:rPr>
          <w:rFonts w:ascii="Arial" w:hAnsi="Arial" w:cs="Arial"/>
          <w:sz w:val="20"/>
          <w:szCs w:val="20"/>
        </w:rPr>
        <w:t>die Gerätekenngrößen</w:t>
      </w:r>
    </w:p>
    <w:p w14:paraId="69556F34"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enthalten.</w:t>
      </w:r>
    </w:p>
    <w:p w14:paraId="0D980AC4" w14:textId="77777777" w:rsidR="009E5F42" w:rsidRDefault="009E5F42">
      <w:pPr>
        <w:spacing w:after="0" w:line="240" w:lineRule="auto"/>
        <w:ind w:left="426"/>
        <w:jc w:val="both"/>
        <w:rPr>
          <w:rFonts w:ascii="Arial" w:hAnsi="Arial" w:cs="Arial"/>
          <w:sz w:val="20"/>
          <w:szCs w:val="20"/>
        </w:rPr>
      </w:pPr>
    </w:p>
    <w:p w14:paraId="1CE1B1C2"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13</w:t>
      </w:r>
      <w:r>
        <w:rPr>
          <w:rFonts w:ascii="Arial" w:hAnsi="Arial" w:cs="Arial"/>
          <w:b/>
          <w:sz w:val="20"/>
          <w:szCs w:val="20"/>
        </w:rPr>
        <w:tab/>
        <w:t>Zahlungen (§ 17)</w:t>
      </w:r>
    </w:p>
    <w:p w14:paraId="196D2DEE"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13.1</w:t>
      </w:r>
      <w:r>
        <w:rPr>
          <w:rFonts w:ascii="Arial" w:hAnsi="Arial" w:cs="Arial"/>
          <w:sz w:val="20"/>
          <w:szCs w:val="20"/>
        </w:rPr>
        <w:tab/>
        <w:t>Alle Zahlungen werden bargeldlos in Euro geleistet.</w:t>
      </w:r>
    </w:p>
    <w:p w14:paraId="0C87BDC2" w14:textId="77777777" w:rsidR="009E5F42" w:rsidRDefault="009E5F42">
      <w:pPr>
        <w:spacing w:after="0" w:line="240" w:lineRule="auto"/>
        <w:ind w:left="426"/>
        <w:jc w:val="both"/>
        <w:rPr>
          <w:rFonts w:ascii="Arial" w:hAnsi="Arial" w:cs="Arial"/>
          <w:sz w:val="20"/>
          <w:szCs w:val="20"/>
        </w:rPr>
      </w:pPr>
    </w:p>
    <w:p w14:paraId="4E877B17"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13.2</w:t>
      </w:r>
      <w:r>
        <w:rPr>
          <w:rFonts w:ascii="Arial" w:hAnsi="Arial" w:cs="Arial"/>
          <w:sz w:val="20"/>
          <w:szCs w:val="20"/>
        </w:rPr>
        <w:tab/>
        <w:t>Als Tag der Zahlung gilt bei Überweisung von einem Konto der Tag, an dem das Geldinstitut den ausführbaren Zahlungsauftrag erhalten hat.</w:t>
      </w:r>
    </w:p>
    <w:p w14:paraId="3E8A035D" w14:textId="77777777" w:rsidR="009E5F42" w:rsidRDefault="009E5F42">
      <w:pPr>
        <w:spacing w:after="0" w:line="240" w:lineRule="auto"/>
        <w:ind w:left="426"/>
        <w:jc w:val="both"/>
        <w:rPr>
          <w:rFonts w:ascii="Arial" w:hAnsi="Arial" w:cs="Arial"/>
          <w:sz w:val="20"/>
          <w:szCs w:val="20"/>
        </w:rPr>
      </w:pPr>
    </w:p>
    <w:p w14:paraId="4FAFD0BD"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13.3</w:t>
      </w:r>
      <w:r>
        <w:rPr>
          <w:rFonts w:ascii="Arial" w:hAnsi="Arial" w:cs="Arial"/>
          <w:sz w:val="20"/>
          <w:szCs w:val="20"/>
        </w:rPr>
        <w:tab/>
        <w:t>Bei Arbeitsgemeinschaften werden Zahlungen mit befreiender Wirkung für den Auftraggeber an den für die Durchführung des Vertrages bevollmächtigten Vertreter der Arbeitsgemeinschaft oder nach dessen schriftlicher Weisung geleistet.</w:t>
      </w:r>
    </w:p>
    <w:p w14:paraId="26E7C737" w14:textId="77777777" w:rsidR="009E5F42" w:rsidRDefault="009E5F42">
      <w:pPr>
        <w:spacing w:after="0" w:line="240" w:lineRule="auto"/>
        <w:ind w:left="426"/>
        <w:jc w:val="both"/>
        <w:rPr>
          <w:rFonts w:ascii="Arial" w:hAnsi="Arial" w:cs="Arial"/>
          <w:sz w:val="20"/>
          <w:szCs w:val="20"/>
        </w:rPr>
      </w:pPr>
    </w:p>
    <w:p w14:paraId="24D259AE"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Dies gilt auch nach Auflösung der Arbeitsgemeinschaft.</w:t>
      </w:r>
    </w:p>
    <w:p w14:paraId="34C733BD" w14:textId="77777777" w:rsidR="009E5F42" w:rsidRDefault="009E5F42">
      <w:pPr>
        <w:spacing w:after="0" w:line="240" w:lineRule="auto"/>
        <w:ind w:left="426" w:hanging="426"/>
        <w:jc w:val="both"/>
        <w:rPr>
          <w:rFonts w:ascii="Arial" w:hAnsi="Arial" w:cs="Arial"/>
          <w:sz w:val="20"/>
          <w:szCs w:val="20"/>
        </w:rPr>
      </w:pPr>
    </w:p>
    <w:p w14:paraId="5918B718"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14</w:t>
      </w:r>
      <w:r>
        <w:rPr>
          <w:rFonts w:ascii="Arial" w:hAnsi="Arial" w:cs="Arial"/>
          <w:b/>
          <w:sz w:val="20"/>
          <w:szCs w:val="20"/>
        </w:rPr>
        <w:tab/>
        <w:t>Überzahlungen (§ 17)</w:t>
      </w:r>
    </w:p>
    <w:p w14:paraId="243500F7"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14.1</w:t>
      </w:r>
      <w:r>
        <w:rPr>
          <w:rFonts w:ascii="Arial" w:hAnsi="Arial" w:cs="Arial"/>
          <w:sz w:val="20"/>
          <w:szCs w:val="20"/>
        </w:rPr>
        <w:tab/>
        <w:t>Bei Rückforderungen des Auftraggebers aus Überzahlungen (§§ 812 ff. BGB) kann sich der Auftragnehmer nicht auf Wegfall der Bereicherung (§ 818 Abs. 3 BGB) berufen.</w:t>
      </w:r>
    </w:p>
    <w:p w14:paraId="2072D721" w14:textId="77777777" w:rsidR="009E5F42" w:rsidRDefault="009E5F42">
      <w:pPr>
        <w:spacing w:after="0" w:line="240" w:lineRule="auto"/>
        <w:ind w:left="426"/>
        <w:jc w:val="both"/>
        <w:rPr>
          <w:rFonts w:ascii="Arial" w:hAnsi="Arial" w:cs="Arial"/>
          <w:sz w:val="20"/>
          <w:szCs w:val="20"/>
        </w:rPr>
      </w:pPr>
    </w:p>
    <w:p w14:paraId="70B3C6D5"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14.2</w:t>
      </w:r>
      <w:r>
        <w:rPr>
          <w:rFonts w:ascii="Arial" w:hAnsi="Arial" w:cs="Arial"/>
          <w:sz w:val="20"/>
          <w:szCs w:val="20"/>
        </w:rPr>
        <w:tab/>
        <w:t xml:space="preserve"> Im Falle der Überzahlung hat der Auftragnehmer den überzahlten Betrag zu erstatten.</w:t>
      </w:r>
    </w:p>
    <w:p w14:paraId="3BDFBBE9" w14:textId="77777777" w:rsidR="009E5F42" w:rsidRDefault="009E5F42">
      <w:pPr>
        <w:spacing w:after="0" w:line="240" w:lineRule="auto"/>
        <w:ind w:left="426"/>
        <w:jc w:val="both"/>
        <w:rPr>
          <w:rFonts w:ascii="Arial" w:hAnsi="Arial" w:cs="Arial"/>
          <w:sz w:val="20"/>
          <w:szCs w:val="20"/>
        </w:rPr>
      </w:pPr>
    </w:p>
    <w:p w14:paraId="1138AE18"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Leistet er innerhalb von 14 Kalendertagen nach Zugang des Rückforderungsschreibens nicht, befindet er sich ab diesem Zeitpunkt mit seiner Zahlungsverpflichtung in Verzug und hat Verzugszinsen in Höhe von 8 % über dem Basiszinssatz des § 247 BGB zu zahlen. Auf einen Wegfall der Bereicherung kann sich der Auftragnehmer nicht berufen.</w:t>
      </w:r>
    </w:p>
    <w:p w14:paraId="467B7708" w14:textId="77777777" w:rsidR="009E5F42" w:rsidRDefault="009E5F42">
      <w:pPr>
        <w:spacing w:after="0" w:line="240" w:lineRule="auto"/>
        <w:ind w:left="426"/>
        <w:jc w:val="both"/>
        <w:rPr>
          <w:rFonts w:ascii="Arial" w:hAnsi="Arial" w:cs="Arial"/>
          <w:sz w:val="20"/>
          <w:szCs w:val="20"/>
        </w:rPr>
      </w:pPr>
    </w:p>
    <w:p w14:paraId="09923D1C"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15</w:t>
      </w:r>
      <w:r>
        <w:rPr>
          <w:rFonts w:ascii="Arial" w:hAnsi="Arial" w:cs="Arial"/>
          <w:b/>
          <w:sz w:val="20"/>
          <w:szCs w:val="20"/>
        </w:rPr>
        <w:tab/>
        <w:t>Sicherheitsleistungen (§ 18)</w:t>
      </w:r>
    </w:p>
    <w:p w14:paraId="4A3F0E6C"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15.1</w:t>
      </w:r>
      <w:r>
        <w:rPr>
          <w:rFonts w:ascii="Arial" w:hAnsi="Arial" w:cs="Arial"/>
          <w:sz w:val="20"/>
          <w:szCs w:val="20"/>
        </w:rPr>
        <w:tab/>
        <w:t>Die Sicherheit für Vertragserfüllung erstreckt sich auf die Erfüllung sämtlicher Verpflichtungen aus dem Vertrag, insbesondere für die vertragsgemäße Ausführung der Leistung einschließlich Abrechnung, Mängelansprüche und Schadensersatz.</w:t>
      </w:r>
    </w:p>
    <w:p w14:paraId="7019285D" w14:textId="77777777" w:rsidR="009E5F42" w:rsidRDefault="009E5F42">
      <w:pPr>
        <w:spacing w:after="0" w:line="240" w:lineRule="auto"/>
        <w:ind w:left="426"/>
        <w:jc w:val="both"/>
        <w:rPr>
          <w:rFonts w:ascii="Arial" w:hAnsi="Arial" w:cs="Arial"/>
          <w:sz w:val="20"/>
          <w:szCs w:val="20"/>
        </w:rPr>
      </w:pPr>
    </w:p>
    <w:p w14:paraId="102E5D8B"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lastRenderedPageBreak/>
        <w:t>15.2</w:t>
      </w:r>
      <w:r>
        <w:rPr>
          <w:rFonts w:ascii="Arial" w:hAnsi="Arial" w:cs="Arial"/>
          <w:sz w:val="20"/>
          <w:szCs w:val="20"/>
        </w:rPr>
        <w:tab/>
        <w:t>Die Sicherheit für Mängelansprüche erstreckt sich auf die Erfüllung der Mängelanspräche einschließlich Schadensersatz und Ansprüche aus der Abrechnung.</w:t>
      </w:r>
    </w:p>
    <w:p w14:paraId="5DC74462" w14:textId="77777777" w:rsidR="009E5F42" w:rsidRDefault="009E5F42">
      <w:pPr>
        <w:spacing w:after="0" w:line="240" w:lineRule="auto"/>
        <w:ind w:left="426"/>
        <w:jc w:val="both"/>
        <w:rPr>
          <w:rFonts w:ascii="Arial" w:hAnsi="Arial" w:cs="Arial"/>
          <w:sz w:val="20"/>
          <w:szCs w:val="20"/>
        </w:rPr>
      </w:pPr>
    </w:p>
    <w:p w14:paraId="409747DB"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16</w:t>
      </w:r>
      <w:r>
        <w:rPr>
          <w:rFonts w:ascii="Arial" w:hAnsi="Arial" w:cs="Arial"/>
          <w:b/>
          <w:sz w:val="20"/>
          <w:szCs w:val="20"/>
        </w:rPr>
        <w:tab/>
        <w:t>Bürgschaften (§§ 17 und 18)</w:t>
      </w:r>
    </w:p>
    <w:p w14:paraId="06AC77C0"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16.1</w:t>
      </w:r>
      <w:r>
        <w:rPr>
          <w:rFonts w:ascii="Arial" w:hAnsi="Arial" w:cs="Arial"/>
          <w:sz w:val="20"/>
          <w:szCs w:val="20"/>
        </w:rPr>
        <w:tab/>
        <w:t>Wird Sicherheit durch Bürgschaft geleistet, sind die Formblätter des Auftraggebers zu verwenden.</w:t>
      </w:r>
    </w:p>
    <w:p w14:paraId="217AB667" w14:textId="77777777" w:rsidR="009E5F42" w:rsidRDefault="009E5F42">
      <w:pPr>
        <w:spacing w:after="0" w:line="240" w:lineRule="auto"/>
        <w:ind w:left="426"/>
        <w:jc w:val="both"/>
        <w:rPr>
          <w:rFonts w:ascii="Arial" w:hAnsi="Arial" w:cs="Arial"/>
          <w:sz w:val="20"/>
          <w:szCs w:val="20"/>
        </w:rPr>
      </w:pPr>
    </w:p>
    <w:p w14:paraId="7BB442FD"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16.2</w:t>
      </w:r>
      <w:r>
        <w:rPr>
          <w:rFonts w:ascii="Arial" w:hAnsi="Arial" w:cs="Arial"/>
          <w:sz w:val="20"/>
          <w:szCs w:val="20"/>
        </w:rPr>
        <w:tab/>
        <w:t xml:space="preserve">Die Bürgschaft ist von einem </w:t>
      </w:r>
    </w:p>
    <w:p w14:paraId="4D7ADF3E" w14:textId="77777777" w:rsidR="009E5F42" w:rsidRDefault="00846859">
      <w:pPr>
        <w:pStyle w:val="Listenabsatz"/>
        <w:numPr>
          <w:ilvl w:val="0"/>
          <w:numId w:val="3"/>
        </w:numPr>
        <w:spacing w:after="0" w:line="240" w:lineRule="auto"/>
        <w:ind w:left="709" w:hanging="283"/>
        <w:jc w:val="both"/>
        <w:rPr>
          <w:rFonts w:ascii="Arial" w:hAnsi="Arial" w:cs="Arial"/>
          <w:sz w:val="20"/>
          <w:szCs w:val="20"/>
        </w:rPr>
      </w:pPr>
      <w:r>
        <w:rPr>
          <w:rFonts w:ascii="Arial" w:hAnsi="Arial" w:cs="Arial"/>
          <w:sz w:val="20"/>
          <w:szCs w:val="20"/>
        </w:rPr>
        <w:t>in der Europäischen Gemeinschaft oder</w:t>
      </w:r>
    </w:p>
    <w:p w14:paraId="7DD326C2" w14:textId="77777777" w:rsidR="009E5F42" w:rsidRDefault="00846859">
      <w:pPr>
        <w:pStyle w:val="Listenabsatz"/>
        <w:numPr>
          <w:ilvl w:val="0"/>
          <w:numId w:val="3"/>
        </w:numPr>
        <w:spacing w:after="0" w:line="240" w:lineRule="auto"/>
        <w:ind w:left="709" w:hanging="283"/>
        <w:jc w:val="both"/>
        <w:rPr>
          <w:rFonts w:ascii="Arial" w:hAnsi="Arial" w:cs="Arial"/>
          <w:sz w:val="20"/>
          <w:szCs w:val="20"/>
        </w:rPr>
      </w:pPr>
      <w:r>
        <w:rPr>
          <w:rFonts w:ascii="Arial" w:hAnsi="Arial" w:cs="Arial"/>
          <w:sz w:val="20"/>
          <w:szCs w:val="20"/>
        </w:rPr>
        <w:t>in einem Staat der Vertragsparteien des Abkommens über den Europäischen Wirtschaftsraum oder</w:t>
      </w:r>
    </w:p>
    <w:p w14:paraId="2882ED7E" w14:textId="77777777" w:rsidR="009E5F42" w:rsidRDefault="00846859">
      <w:pPr>
        <w:pStyle w:val="Listenabsatz"/>
        <w:numPr>
          <w:ilvl w:val="0"/>
          <w:numId w:val="3"/>
        </w:numPr>
        <w:spacing w:after="0" w:line="240" w:lineRule="auto"/>
        <w:ind w:left="709" w:hanging="283"/>
        <w:jc w:val="both"/>
        <w:rPr>
          <w:rFonts w:ascii="Arial" w:hAnsi="Arial" w:cs="Arial"/>
          <w:sz w:val="20"/>
          <w:szCs w:val="20"/>
        </w:rPr>
      </w:pPr>
      <w:r>
        <w:rPr>
          <w:rFonts w:ascii="Arial" w:hAnsi="Arial" w:cs="Arial"/>
          <w:sz w:val="20"/>
          <w:szCs w:val="20"/>
        </w:rPr>
        <w:t>in einem Staat der Vertragsparteien des WTO-Abkommens über das öffentliche Beschaffungswesen</w:t>
      </w:r>
    </w:p>
    <w:p w14:paraId="41DDCEEB"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zugelassenen Kreditinstitut bzw. Kredit- oder Kautionsversicherer zu stellen.</w:t>
      </w:r>
    </w:p>
    <w:p w14:paraId="7557E688" w14:textId="77777777" w:rsidR="009E5F42" w:rsidRDefault="009E5F42">
      <w:pPr>
        <w:spacing w:after="0" w:line="240" w:lineRule="auto"/>
        <w:ind w:left="426"/>
        <w:jc w:val="both"/>
        <w:rPr>
          <w:rFonts w:ascii="Arial" w:hAnsi="Arial" w:cs="Arial"/>
          <w:sz w:val="20"/>
          <w:szCs w:val="20"/>
        </w:rPr>
      </w:pPr>
    </w:p>
    <w:p w14:paraId="4833F574"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16.3</w:t>
      </w:r>
      <w:r>
        <w:rPr>
          <w:rFonts w:ascii="Arial" w:hAnsi="Arial" w:cs="Arial"/>
          <w:sz w:val="20"/>
          <w:szCs w:val="20"/>
        </w:rPr>
        <w:tab/>
      </w:r>
      <w:r>
        <w:rPr>
          <w:rFonts w:ascii="Arial" w:hAnsi="Arial" w:cs="Arial"/>
          <w:sz w:val="20"/>
          <w:szCs w:val="20"/>
        </w:rPr>
        <w:t>Die Bürgschaftsurkunden enthalten folgende Erklärungen des Bürgen:</w:t>
      </w:r>
    </w:p>
    <w:p w14:paraId="0C5C3B56" w14:textId="77777777" w:rsidR="009E5F42" w:rsidRDefault="00846859">
      <w:pPr>
        <w:pStyle w:val="Listenabsatz"/>
        <w:numPr>
          <w:ilvl w:val="0"/>
          <w:numId w:val="4"/>
        </w:numPr>
        <w:spacing w:after="0" w:line="240" w:lineRule="auto"/>
        <w:ind w:left="709" w:hanging="283"/>
        <w:jc w:val="both"/>
        <w:rPr>
          <w:rFonts w:ascii="Arial" w:hAnsi="Arial" w:cs="Arial"/>
          <w:sz w:val="20"/>
          <w:szCs w:val="20"/>
        </w:rPr>
      </w:pPr>
      <w:r>
        <w:rPr>
          <w:rFonts w:ascii="Arial" w:hAnsi="Arial" w:cs="Arial"/>
          <w:sz w:val="20"/>
          <w:szCs w:val="20"/>
        </w:rPr>
        <w:t>„Der Bürge übernimmt für den Auftragnehmer die selbstschuldnerische Bürgschaft nach deutschem Recht.</w:t>
      </w:r>
    </w:p>
    <w:p w14:paraId="495CFDB3" w14:textId="77777777" w:rsidR="009E5F42" w:rsidRDefault="00846859">
      <w:pPr>
        <w:pStyle w:val="Listenabsatz"/>
        <w:numPr>
          <w:ilvl w:val="0"/>
          <w:numId w:val="4"/>
        </w:numPr>
        <w:spacing w:after="0" w:line="240" w:lineRule="auto"/>
        <w:ind w:left="709" w:hanging="283"/>
        <w:jc w:val="both"/>
        <w:rPr>
          <w:rFonts w:ascii="Arial" w:hAnsi="Arial" w:cs="Arial"/>
          <w:sz w:val="20"/>
          <w:szCs w:val="20"/>
        </w:rPr>
      </w:pPr>
      <w:r>
        <w:rPr>
          <w:rFonts w:ascii="Arial" w:hAnsi="Arial" w:cs="Arial"/>
          <w:sz w:val="20"/>
          <w:szCs w:val="20"/>
        </w:rPr>
        <w:t>Auf die Einrede der Anfechtbarkeit und der Aufrechenbarkeit sowie der Vorausklage gemäß §§ 770, 771 BGB wird verzichtet. Der Verzicht auf die Einrede der Aufrechenbarkeit gilt nicht für unbestrittene oder rechtskräftig festgestellte Gegenforderungen des Hauptschuldners.</w:t>
      </w:r>
    </w:p>
    <w:p w14:paraId="0F7DA35B" w14:textId="77777777" w:rsidR="009E5F42" w:rsidRDefault="00846859">
      <w:pPr>
        <w:pStyle w:val="Listenabsatz"/>
        <w:numPr>
          <w:ilvl w:val="0"/>
          <w:numId w:val="4"/>
        </w:numPr>
        <w:spacing w:after="0" w:line="240" w:lineRule="auto"/>
        <w:ind w:left="709" w:hanging="283"/>
        <w:jc w:val="both"/>
        <w:rPr>
          <w:rFonts w:ascii="Arial" w:hAnsi="Arial" w:cs="Arial"/>
          <w:sz w:val="20"/>
          <w:szCs w:val="20"/>
        </w:rPr>
      </w:pPr>
      <w:r>
        <w:rPr>
          <w:rFonts w:ascii="Arial" w:hAnsi="Arial" w:cs="Arial"/>
          <w:sz w:val="20"/>
          <w:szCs w:val="20"/>
        </w:rPr>
        <w:t>Die Bürgschaft ist unbefristet; sie erlischt mit der Rückgabe dieser Bürgschaftsurkunde.</w:t>
      </w:r>
    </w:p>
    <w:p w14:paraId="61F0A00A" w14:textId="77777777" w:rsidR="009E5F42" w:rsidRDefault="00846859">
      <w:pPr>
        <w:pStyle w:val="Listenabsatz"/>
        <w:numPr>
          <w:ilvl w:val="0"/>
          <w:numId w:val="4"/>
        </w:numPr>
        <w:spacing w:after="0" w:line="240" w:lineRule="auto"/>
        <w:ind w:left="709" w:hanging="283"/>
        <w:jc w:val="both"/>
        <w:rPr>
          <w:rFonts w:ascii="Arial" w:hAnsi="Arial" w:cs="Arial"/>
          <w:sz w:val="20"/>
          <w:szCs w:val="20"/>
        </w:rPr>
      </w:pPr>
      <w:r>
        <w:rPr>
          <w:rFonts w:ascii="Arial" w:hAnsi="Arial" w:cs="Arial"/>
          <w:sz w:val="20"/>
          <w:szCs w:val="20"/>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6738927F" w14:textId="77777777" w:rsidR="009E5F42" w:rsidRDefault="00846859">
      <w:pPr>
        <w:pStyle w:val="Listenabsatz"/>
        <w:numPr>
          <w:ilvl w:val="0"/>
          <w:numId w:val="4"/>
        </w:numPr>
        <w:spacing w:after="0" w:line="240" w:lineRule="auto"/>
        <w:ind w:left="709" w:hanging="283"/>
        <w:jc w:val="both"/>
        <w:rPr>
          <w:rFonts w:ascii="Arial" w:hAnsi="Arial" w:cs="Arial"/>
          <w:sz w:val="20"/>
          <w:szCs w:val="20"/>
        </w:rPr>
      </w:pPr>
      <w:r>
        <w:rPr>
          <w:rFonts w:ascii="Arial" w:hAnsi="Arial" w:cs="Arial"/>
          <w:sz w:val="20"/>
          <w:szCs w:val="20"/>
        </w:rPr>
        <w:t>Gerichtsstand ist der Sitz der zur Prozessvertretung des Auftraggebers zuständigen Stelle.“</w:t>
      </w:r>
    </w:p>
    <w:p w14:paraId="0058FD70" w14:textId="77777777" w:rsidR="009E5F42" w:rsidRDefault="009E5F42">
      <w:pPr>
        <w:pStyle w:val="Listenabsatz"/>
        <w:spacing w:after="0" w:line="240" w:lineRule="auto"/>
        <w:ind w:left="709" w:hanging="283"/>
        <w:jc w:val="both"/>
        <w:rPr>
          <w:rFonts w:ascii="Arial" w:hAnsi="Arial" w:cs="Arial"/>
          <w:sz w:val="20"/>
          <w:szCs w:val="20"/>
        </w:rPr>
      </w:pPr>
    </w:p>
    <w:p w14:paraId="70FF695B"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16.4</w:t>
      </w:r>
      <w:r>
        <w:rPr>
          <w:rFonts w:ascii="Arial" w:hAnsi="Arial" w:cs="Arial"/>
          <w:sz w:val="20"/>
          <w:szCs w:val="20"/>
        </w:rPr>
        <w:tab/>
      </w:r>
      <w:r>
        <w:rPr>
          <w:rFonts w:ascii="Arial" w:hAnsi="Arial" w:cs="Arial"/>
          <w:sz w:val="20"/>
          <w:szCs w:val="20"/>
        </w:rPr>
        <w:t>Die Bürgschaft ist über den Gesamtbetrag der Sicherheit in nur einer Urkunde zu stellen.</w:t>
      </w:r>
    </w:p>
    <w:p w14:paraId="1179C6B1" w14:textId="77777777" w:rsidR="009E5F42" w:rsidRDefault="009E5F42">
      <w:pPr>
        <w:spacing w:after="0" w:line="240" w:lineRule="auto"/>
        <w:ind w:left="426"/>
        <w:jc w:val="both"/>
        <w:rPr>
          <w:rFonts w:ascii="Arial" w:hAnsi="Arial" w:cs="Arial"/>
          <w:sz w:val="20"/>
          <w:szCs w:val="20"/>
        </w:rPr>
      </w:pPr>
    </w:p>
    <w:p w14:paraId="07C8351E" w14:textId="77777777" w:rsidR="009E5F42" w:rsidRDefault="00846859">
      <w:pPr>
        <w:spacing w:after="0" w:line="240" w:lineRule="auto"/>
        <w:ind w:left="426" w:hanging="426"/>
        <w:jc w:val="both"/>
        <w:rPr>
          <w:rFonts w:ascii="Arial" w:hAnsi="Arial" w:cs="Arial"/>
          <w:sz w:val="20"/>
          <w:szCs w:val="20"/>
        </w:rPr>
      </w:pPr>
      <w:r>
        <w:rPr>
          <w:rFonts w:ascii="Arial" w:hAnsi="Arial" w:cs="Arial"/>
          <w:sz w:val="20"/>
          <w:szCs w:val="20"/>
        </w:rPr>
        <w:t>16.5</w:t>
      </w:r>
      <w:r>
        <w:rPr>
          <w:rFonts w:ascii="Arial" w:hAnsi="Arial" w:cs="Arial"/>
          <w:sz w:val="20"/>
          <w:szCs w:val="20"/>
        </w:rPr>
        <w:tab/>
        <w:t>die Urkunde über die Vorauszahlungsbürgschaft wird zurückgegeben, wenn die Vorauszahlung auf fällige Zahlungen angerechnet worden ist.</w:t>
      </w:r>
    </w:p>
    <w:p w14:paraId="26AA77F2" w14:textId="77777777" w:rsidR="009E5F42" w:rsidRDefault="009E5F42">
      <w:pPr>
        <w:spacing w:after="0" w:line="240" w:lineRule="auto"/>
        <w:ind w:left="426"/>
        <w:jc w:val="both"/>
        <w:rPr>
          <w:rFonts w:ascii="Arial" w:hAnsi="Arial" w:cs="Arial"/>
          <w:sz w:val="20"/>
          <w:szCs w:val="20"/>
        </w:rPr>
      </w:pPr>
    </w:p>
    <w:p w14:paraId="74C853A8" w14:textId="77777777" w:rsidR="009E5F42" w:rsidRDefault="00846859">
      <w:pPr>
        <w:spacing w:after="0" w:line="240" w:lineRule="auto"/>
        <w:ind w:left="426" w:hanging="426"/>
        <w:jc w:val="both"/>
        <w:rPr>
          <w:rFonts w:ascii="Arial" w:hAnsi="Arial" w:cs="Arial"/>
          <w:b/>
          <w:sz w:val="20"/>
          <w:szCs w:val="20"/>
        </w:rPr>
      </w:pPr>
      <w:r>
        <w:rPr>
          <w:rFonts w:ascii="Arial" w:hAnsi="Arial" w:cs="Arial"/>
          <w:b/>
          <w:sz w:val="20"/>
          <w:szCs w:val="20"/>
        </w:rPr>
        <w:t>17</w:t>
      </w:r>
      <w:r>
        <w:rPr>
          <w:rFonts w:ascii="Arial" w:hAnsi="Arial" w:cs="Arial"/>
          <w:b/>
          <w:sz w:val="20"/>
          <w:szCs w:val="20"/>
        </w:rPr>
        <w:tab/>
        <w:t>Verträge mit ausländischen Auftragnehmern (§ 19)</w:t>
      </w:r>
    </w:p>
    <w:p w14:paraId="443E3E94" w14:textId="77777777" w:rsidR="009E5F42" w:rsidRDefault="00846859">
      <w:pPr>
        <w:spacing w:after="0" w:line="240" w:lineRule="auto"/>
        <w:ind w:left="426"/>
        <w:jc w:val="both"/>
        <w:rPr>
          <w:rFonts w:ascii="Arial" w:hAnsi="Arial" w:cs="Arial"/>
          <w:sz w:val="20"/>
          <w:szCs w:val="20"/>
        </w:rPr>
      </w:pPr>
      <w:r>
        <w:rPr>
          <w:rFonts w:ascii="Arial" w:hAnsi="Arial" w:cs="Arial"/>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p w14:paraId="22F398FF" w14:textId="77777777" w:rsidR="009E5F42" w:rsidRDefault="009E5F42">
      <w:pPr>
        <w:spacing w:after="0" w:line="240" w:lineRule="auto"/>
        <w:ind w:left="426"/>
        <w:rPr>
          <w:rFonts w:ascii="Arial" w:hAnsi="Arial" w:cs="Arial"/>
          <w:sz w:val="20"/>
          <w:szCs w:val="20"/>
        </w:rPr>
      </w:pPr>
    </w:p>
    <w:p w14:paraId="76413152" w14:textId="77777777" w:rsidR="009E5F42" w:rsidRDefault="00846859">
      <w:pPr>
        <w:tabs>
          <w:tab w:val="left" w:pos="426"/>
        </w:tabs>
        <w:spacing w:after="0" w:line="240" w:lineRule="auto"/>
        <w:rPr>
          <w:rFonts w:ascii="Arial" w:hAnsi="Arial" w:cs="Arial"/>
          <w:b/>
          <w:sz w:val="20"/>
          <w:szCs w:val="20"/>
        </w:rPr>
      </w:pPr>
      <w:r>
        <w:rPr>
          <w:rFonts w:ascii="Arial" w:hAnsi="Arial" w:cs="Arial"/>
          <w:b/>
          <w:sz w:val="20"/>
          <w:szCs w:val="20"/>
        </w:rPr>
        <w:t>18</w:t>
      </w:r>
      <w:r>
        <w:rPr>
          <w:rFonts w:ascii="Arial" w:hAnsi="Arial" w:cs="Arial"/>
          <w:b/>
          <w:sz w:val="20"/>
          <w:szCs w:val="20"/>
        </w:rPr>
        <w:tab/>
        <w:t>Sonstige Vertragsbestandteile</w:t>
      </w:r>
    </w:p>
    <w:p w14:paraId="3E0E09F4" w14:textId="77777777" w:rsidR="009E5F42" w:rsidRDefault="009E5F42">
      <w:pPr>
        <w:spacing w:after="0" w:line="240" w:lineRule="auto"/>
        <w:ind w:left="426"/>
        <w:rPr>
          <w:rFonts w:ascii="Arial" w:hAnsi="Arial" w:cs="Arial"/>
          <w:sz w:val="18"/>
          <w:szCs w:val="20"/>
        </w:rPr>
      </w:pPr>
    </w:p>
    <w:p w14:paraId="3BA0B686" w14:textId="77777777" w:rsidR="009E5F42" w:rsidRDefault="00846859">
      <w:pPr>
        <w:tabs>
          <w:tab w:val="left" w:pos="426"/>
        </w:tabs>
        <w:spacing w:after="0" w:line="240" w:lineRule="auto"/>
        <w:ind w:left="426" w:hanging="426"/>
        <w:jc w:val="both"/>
        <w:rPr>
          <w:rFonts w:ascii="Arial" w:hAnsi="Arial" w:cs="Arial"/>
          <w:sz w:val="20"/>
        </w:rPr>
      </w:pPr>
      <w:r>
        <w:rPr>
          <w:rFonts w:ascii="Arial" w:hAnsi="Arial" w:cs="Arial"/>
          <w:sz w:val="20"/>
        </w:rPr>
        <w:t>18.1</w:t>
      </w:r>
      <w:r>
        <w:rPr>
          <w:rFonts w:ascii="Arial" w:hAnsi="Arial" w:cs="Arial"/>
          <w:sz w:val="20"/>
        </w:rPr>
        <w:tab/>
        <w:t>Mit der Angebotsabgabe bestätigt der Bieter, dass er die Bestimmungen gegen Schwarzarbeit, illegale Arbeitnehmerüberlassung und Leistungsmissbrauch i. S. d. Dritten Sozialgesetzbuches (SGB III), des Schwarzarbeitsbekämpfungsgesetzes (</w:t>
      </w:r>
      <w:proofErr w:type="spellStart"/>
      <w:r>
        <w:rPr>
          <w:rFonts w:ascii="Arial" w:hAnsi="Arial" w:cs="Arial"/>
          <w:sz w:val="20"/>
        </w:rPr>
        <w:t>SchwarzArbG</w:t>
      </w:r>
      <w:proofErr w:type="spellEnd"/>
      <w:r>
        <w:rPr>
          <w:rFonts w:ascii="Arial" w:hAnsi="Arial" w:cs="Arial"/>
          <w:sz w:val="20"/>
        </w:rPr>
        <w:t>), des Arbeitnehmer-Entsendegesetzes (AentG) und des Mindestlohngesetzes (MiLoG) einhält.</w:t>
      </w:r>
    </w:p>
    <w:p w14:paraId="1F870733" w14:textId="77777777" w:rsidR="009E5F42" w:rsidRDefault="009E5F42">
      <w:pPr>
        <w:tabs>
          <w:tab w:val="left" w:pos="426"/>
        </w:tabs>
        <w:spacing w:after="0" w:line="240" w:lineRule="auto"/>
        <w:ind w:left="426"/>
        <w:jc w:val="both"/>
        <w:rPr>
          <w:rFonts w:ascii="Arial" w:hAnsi="Arial" w:cs="Arial"/>
          <w:sz w:val="20"/>
        </w:rPr>
      </w:pPr>
    </w:p>
    <w:p w14:paraId="1A2C052C" w14:textId="77777777" w:rsidR="009E5F42" w:rsidRDefault="00846859">
      <w:pPr>
        <w:tabs>
          <w:tab w:val="left" w:pos="426"/>
        </w:tabs>
        <w:spacing w:after="0" w:line="240" w:lineRule="auto"/>
        <w:ind w:left="426" w:hanging="426"/>
        <w:jc w:val="both"/>
        <w:rPr>
          <w:rFonts w:ascii="Arial" w:hAnsi="Arial" w:cs="Arial"/>
          <w:sz w:val="20"/>
        </w:rPr>
      </w:pPr>
      <w:r>
        <w:rPr>
          <w:rFonts w:ascii="Arial" w:hAnsi="Arial" w:cs="Arial"/>
          <w:sz w:val="20"/>
        </w:rPr>
        <w:t>18.2Allgemeine Geschäftsbedingungen (</w:t>
      </w:r>
      <w:proofErr w:type="spellStart"/>
      <w:r>
        <w:rPr>
          <w:rFonts w:ascii="Arial" w:hAnsi="Arial" w:cs="Arial"/>
          <w:sz w:val="20"/>
        </w:rPr>
        <w:t>AGB´s</w:t>
      </w:r>
      <w:proofErr w:type="spellEnd"/>
      <w:r>
        <w:rPr>
          <w:rFonts w:ascii="Arial" w:hAnsi="Arial" w:cs="Arial"/>
          <w:sz w:val="20"/>
        </w:rPr>
        <w:t>) seitens des Bieters werden nicht akzeptiert; sie werden nicht Vertragsbestandteil.</w:t>
      </w:r>
    </w:p>
    <w:p w14:paraId="25CF3410" w14:textId="77777777" w:rsidR="009E5F42" w:rsidRDefault="009E5F42">
      <w:pPr>
        <w:tabs>
          <w:tab w:val="left" w:pos="426"/>
        </w:tabs>
        <w:spacing w:after="0" w:line="240" w:lineRule="auto"/>
        <w:ind w:left="426"/>
        <w:rPr>
          <w:rFonts w:ascii="Arial" w:hAnsi="Arial" w:cs="Arial"/>
          <w:sz w:val="20"/>
        </w:rPr>
      </w:pPr>
    </w:p>
    <w:p w14:paraId="190D23CE" w14:textId="77777777" w:rsidR="009E5F42" w:rsidRDefault="00846859">
      <w:pPr>
        <w:tabs>
          <w:tab w:val="left" w:pos="426"/>
        </w:tabs>
        <w:spacing w:after="0" w:line="240" w:lineRule="auto"/>
        <w:ind w:left="426" w:hanging="426"/>
        <w:jc w:val="both"/>
        <w:rPr>
          <w:rFonts w:ascii="Arial" w:hAnsi="Arial" w:cs="Arial"/>
          <w:sz w:val="20"/>
        </w:rPr>
      </w:pPr>
      <w:r>
        <w:rPr>
          <w:rFonts w:ascii="Arial" w:hAnsi="Arial" w:cs="Arial"/>
          <w:sz w:val="20"/>
        </w:rPr>
        <w:t>18</w:t>
      </w:r>
      <w:r>
        <w:rPr>
          <w:rFonts w:ascii="Arial" w:hAnsi="Arial" w:cs="Arial"/>
          <w:sz w:val="20"/>
        </w:rPr>
        <w:t>.3Die gesamte Kommunikation während des Vergabeverfahrens erfolgt ausschließlich in elektronischer Form über die Vergabeplattform. Die in der Kommunikation dargelegten Sachverhalte werden Bestandteil des Angebots. Dabei handelt es sich u.a. um die Beantwortung von Bieterfragen zum Vergabeverfahren, die Mitteilung zusätzlicher Informationen sowie Austauschseiten der Vergabeunterlagen. Daher wird die kostenlose Registrierung auf der Vergabeplattform empfohlen. Es liegt in alleiniger Verantwortung des Bieters,</w:t>
      </w:r>
      <w:r>
        <w:rPr>
          <w:rFonts w:ascii="Arial" w:hAnsi="Arial" w:cs="Arial"/>
          <w:sz w:val="20"/>
        </w:rPr>
        <w:t xml:space="preserve"> sich über die Beantwortung von Bieterfragen oder Änderungen der Vergabeunterlagen zu informieren.</w:t>
      </w:r>
    </w:p>
    <w:p w14:paraId="28234F15" w14:textId="77777777" w:rsidR="009E5F42" w:rsidRDefault="009E5F42">
      <w:pPr>
        <w:spacing w:after="0" w:line="240" w:lineRule="auto"/>
        <w:ind w:left="426"/>
        <w:rPr>
          <w:rFonts w:ascii="Arial" w:hAnsi="Arial" w:cs="Arial"/>
          <w:sz w:val="18"/>
          <w:szCs w:val="20"/>
        </w:rPr>
      </w:pPr>
    </w:p>
    <w:p w14:paraId="6D9DA9C6" w14:textId="77777777" w:rsidR="009E5F42" w:rsidRDefault="009E5F42">
      <w:pPr>
        <w:spacing w:after="0" w:line="240" w:lineRule="auto"/>
        <w:ind w:left="426"/>
        <w:rPr>
          <w:rFonts w:ascii="Arial" w:hAnsi="Arial" w:cs="Arial"/>
          <w:sz w:val="18"/>
          <w:szCs w:val="20"/>
        </w:rPr>
      </w:pPr>
    </w:p>
    <w:p w14:paraId="54870644" w14:textId="77777777" w:rsidR="009E5F42" w:rsidRDefault="00846859">
      <w:pPr>
        <w:tabs>
          <w:tab w:val="left" w:pos="567"/>
          <w:tab w:val="left" w:pos="1244"/>
        </w:tabs>
        <w:spacing w:after="0" w:line="240" w:lineRule="auto"/>
        <w:ind w:left="426" w:hanging="426"/>
        <w:rPr>
          <w:rFonts w:ascii="Arial" w:hAnsi="Arial" w:cs="Arial"/>
          <w:sz w:val="20"/>
        </w:rPr>
      </w:pPr>
      <w:r>
        <w:rPr>
          <w:rFonts w:ascii="Arial" w:hAnsi="Arial" w:cs="Arial"/>
          <w:sz w:val="20"/>
        </w:rPr>
        <w:t>18.4</w:t>
      </w:r>
      <w:r>
        <w:rPr>
          <w:rFonts w:ascii="Arial" w:hAnsi="Arial" w:cs="Arial"/>
          <w:sz w:val="20"/>
        </w:rPr>
        <w:tab/>
        <w:t>Bevorzugungsregelung nach dem Sozialgesetzbuch IX</w:t>
      </w:r>
    </w:p>
    <w:p w14:paraId="5B0849ED" w14:textId="77777777" w:rsidR="009E5F42" w:rsidRDefault="00846859">
      <w:pPr>
        <w:pStyle w:val="Listenabsatz"/>
        <w:spacing w:after="0" w:line="240" w:lineRule="auto"/>
        <w:ind w:left="426"/>
        <w:jc w:val="both"/>
        <w:rPr>
          <w:rFonts w:ascii="Arial" w:hAnsi="Arial" w:cs="Arial"/>
          <w:sz w:val="20"/>
        </w:rPr>
      </w:pPr>
      <w:r>
        <w:rPr>
          <w:rFonts w:ascii="Arial" w:hAnsi="Arial" w:cs="Arial"/>
          <w:sz w:val="20"/>
        </w:rPr>
        <w:t xml:space="preserve">Ist das Angebot eines bevorzugten Bieters ebenso wirtschaftlich wie das ansonsten wirtschaftlichste Angebot eines nicht bevorzugten Bieters, so wird dem bevorzugten Bieter der Zuschlag erteilt. Bei der Wertung der Angebote wird der von bevorzugten Unternehmen </w:t>
      </w:r>
      <w:r>
        <w:rPr>
          <w:rFonts w:ascii="Arial" w:hAnsi="Arial" w:cs="Arial"/>
          <w:sz w:val="20"/>
        </w:rPr>
        <w:lastRenderedPageBreak/>
        <w:t>angebotene und zur Wertung herangezogene Preis a) bei anerkannten Werkstätten für behinderte Menschen und anerkannten Blindenwerkstätten mit einem Abschlag von 15 v. H. und b) bei anerkannten Inklusionsbetrieben mit einem Abschlag von 10 v. H. berücksichtigt. Falls das Angebot von einer Bietergemeinschaft abgegeben wird, so wird nur der Anteil berücksichtigt, den die bevorzugten Einrichtungen an dem Gesamtangebot der Arbeitsgemeinschaft haben. Bei der Angebotsabgabe ist der Anteil der bevorzugten Einrichtun</w:t>
      </w:r>
      <w:r>
        <w:rPr>
          <w:rFonts w:ascii="Arial" w:hAnsi="Arial" w:cs="Arial"/>
          <w:sz w:val="20"/>
        </w:rPr>
        <w:t>gen anzugeben.</w:t>
      </w:r>
    </w:p>
    <w:p w14:paraId="6808E02A" w14:textId="77777777" w:rsidR="009E5F42" w:rsidRDefault="009E5F42">
      <w:pPr>
        <w:tabs>
          <w:tab w:val="left" w:pos="567"/>
          <w:tab w:val="left" w:pos="1244"/>
        </w:tabs>
        <w:spacing w:after="0" w:line="240" w:lineRule="auto"/>
        <w:ind w:left="426"/>
        <w:rPr>
          <w:rFonts w:ascii="Arial" w:hAnsi="Arial" w:cs="Arial"/>
          <w:sz w:val="20"/>
        </w:rPr>
      </w:pPr>
    </w:p>
    <w:p w14:paraId="378C87A5" w14:textId="77777777" w:rsidR="009E5F42" w:rsidRDefault="00846859">
      <w:pPr>
        <w:tabs>
          <w:tab w:val="left" w:pos="567"/>
          <w:tab w:val="left" w:pos="1244"/>
        </w:tabs>
        <w:spacing w:after="0" w:line="240" w:lineRule="auto"/>
        <w:ind w:left="426" w:hanging="426"/>
        <w:rPr>
          <w:rFonts w:ascii="Arial" w:hAnsi="Arial" w:cs="Arial"/>
          <w:sz w:val="20"/>
        </w:rPr>
      </w:pPr>
      <w:r>
        <w:rPr>
          <w:rFonts w:ascii="Arial" w:hAnsi="Arial" w:cs="Arial"/>
          <w:sz w:val="20"/>
        </w:rPr>
        <w:t>18.5</w:t>
      </w:r>
      <w:r>
        <w:rPr>
          <w:rFonts w:ascii="Arial" w:hAnsi="Arial" w:cs="Arial"/>
          <w:sz w:val="20"/>
        </w:rPr>
        <w:tab/>
        <w:t>Berücksichtigung von Ausbildungsbetrieben</w:t>
      </w:r>
    </w:p>
    <w:p w14:paraId="253C9D5C" w14:textId="77777777" w:rsidR="009E5F42" w:rsidRDefault="00846859">
      <w:pPr>
        <w:pStyle w:val="Listenabsatz"/>
        <w:spacing w:after="0" w:line="240" w:lineRule="auto"/>
        <w:ind w:left="426"/>
        <w:jc w:val="both"/>
        <w:rPr>
          <w:rFonts w:ascii="Arial" w:hAnsi="Arial" w:cs="Arial"/>
          <w:sz w:val="20"/>
        </w:rPr>
      </w:pPr>
      <w:r>
        <w:rPr>
          <w:rFonts w:ascii="Arial" w:hAnsi="Arial" w:cs="Arial"/>
          <w:sz w:val="20"/>
        </w:rPr>
        <w:t>Bei der Wertung der Angebote wird im Rahmen der vergaberechtlichen Bestimmungen bei sonst wirtschaftlich gleichwertigen Angeboten dem Unternehmen bevorzugt der Zuschlag erteilt, das Ausbildungsplätze bereitstellt oder sich an der beruflichen Erstausbildung beteiligt. Der Nachweis der Erfüllung dieser Kriterien ist durch Eigenerklärung mit dem Angebot zu führen. Eine Anwendung dieser Regelung ist ausgeschlossen, wenn eines der gleichwertigen Angebote von einem ausländischen Bieter abgegeben wurde.</w:t>
      </w:r>
    </w:p>
    <w:p w14:paraId="216D92CA" w14:textId="77777777" w:rsidR="009E5F42" w:rsidRDefault="009E5F42">
      <w:pPr>
        <w:tabs>
          <w:tab w:val="left" w:pos="567"/>
          <w:tab w:val="left" w:pos="1244"/>
        </w:tabs>
        <w:spacing w:after="0" w:line="240" w:lineRule="auto"/>
        <w:ind w:left="426"/>
        <w:rPr>
          <w:rFonts w:ascii="Arial" w:hAnsi="Arial" w:cs="Arial"/>
          <w:sz w:val="20"/>
        </w:rPr>
      </w:pPr>
    </w:p>
    <w:p w14:paraId="03A503FD" w14:textId="77777777" w:rsidR="009E5F42" w:rsidRDefault="00846859">
      <w:pPr>
        <w:tabs>
          <w:tab w:val="left" w:pos="567"/>
          <w:tab w:val="left" w:pos="1244"/>
        </w:tabs>
        <w:spacing w:after="0" w:line="240" w:lineRule="auto"/>
        <w:ind w:left="426" w:hanging="426"/>
        <w:rPr>
          <w:rFonts w:ascii="Arial" w:hAnsi="Arial" w:cs="Arial"/>
          <w:sz w:val="20"/>
        </w:rPr>
      </w:pPr>
      <w:r>
        <w:rPr>
          <w:rFonts w:ascii="Arial" w:hAnsi="Arial" w:cs="Arial"/>
          <w:sz w:val="20"/>
        </w:rPr>
        <w:t>18.6</w:t>
      </w:r>
      <w:r>
        <w:rPr>
          <w:rFonts w:ascii="Arial" w:hAnsi="Arial" w:cs="Arial"/>
          <w:sz w:val="20"/>
        </w:rPr>
        <w:tab/>
        <w:t>Berücksichtigung von Unternehmen mit Frauenfördermaßnahmen</w:t>
      </w:r>
    </w:p>
    <w:p w14:paraId="6C96A1A7" w14:textId="77777777" w:rsidR="009E5F42" w:rsidRDefault="00846859">
      <w:pPr>
        <w:pStyle w:val="Listenabsatz"/>
        <w:spacing w:after="0" w:line="240" w:lineRule="auto"/>
        <w:ind w:left="426"/>
        <w:jc w:val="both"/>
        <w:rPr>
          <w:rFonts w:ascii="Arial" w:hAnsi="Arial" w:cs="Arial"/>
          <w:sz w:val="20"/>
        </w:rPr>
      </w:pPr>
      <w:r>
        <w:rPr>
          <w:rFonts w:ascii="Arial" w:hAnsi="Arial" w:cs="Arial"/>
          <w:sz w:val="20"/>
        </w:rPr>
        <w:t>Bei der Wertung der Angebote wird im Rahmen der vergaberechtlichen Bestimmungen bei sonst wirtschaftlich gleichwertigen Angeboten dem Unternehmen bevorzugt der Zuschlag erteilt, das zum Zeitpunkt der Ausschreibung im Verhältnis zu den mitbietenden Unternehmen einen höheren Frauenanteil an den Beschäftigten ausweist oder Maßnahmen zur Förderung der Gleichstellung von Frauen im Erwerbsleben durchführt. Der Nach der Erfüllung dieser Kriterien ist durch Eigenerklärung mit dem Angebot zu führen. Eine Anwendung d</w:t>
      </w:r>
      <w:r>
        <w:rPr>
          <w:rFonts w:ascii="Arial" w:hAnsi="Arial" w:cs="Arial"/>
          <w:sz w:val="20"/>
        </w:rPr>
        <w:t>ieser Regelung ist ausgeschlossen, wenn eines der gleichwertigen Angebote von einem ausländischen Bieter abgegeben wurde.</w:t>
      </w:r>
    </w:p>
    <w:p w14:paraId="69C46BF7" w14:textId="77777777" w:rsidR="009E5F42" w:rsidRDefault="009E5F42">
      <w:pPr>
        <w:spacing w:after="0" w:line="240" w:lineRule="auto"/>
        <w:ind w:left="426"/>
        <w:rPr>
          <w:rFonts w:ascii="Arial" w:hAnsi="Arial" w:cs="Arial"/>
          <w:sz w:val="18"/>
          <w:szCs w:val="20"/>
        </w:rPr>
      </w:pPr>
    </w:p>
    <w:p w14:paraId="2F6EDCF1" w14:textId="77777777" w:rsidR="009E5F42" w:rsidRDefault="009E5F42">
      <w:pPr>
        <w:spacing w:after="0" w:line="240" w:lineRule="auto"/>
      </w:pPr>
    </w:p>
    <w:sectPr w:rsidR="009E5F4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1A8F"/>
    <w:multiLevelType w:val="hybridMultilevel"/>
    <w:tmpl w:val="310C08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9D09EA"/>
    <w:multiLevelType w:val="hybridMultilevel"/>
    <w:tmpl w:val="F8B25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DB50E1"/>
    <w:multiLevelType w:val="hybridMultilevel"/>
    <w:tmpl w:val="1B0ACB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880C14"/>
    <w:multiLevelType w:val="hybridMultilevel"/>
    <w:tmpl w:val="043E0EF4"/>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num w:numId="1" w16cid:durableId="1232933802">
    <w:abstractNumId w:val="3"/>
  </w:num>
  <w:num w:numId="2" w16cid:durableId="1187478455">
    <w:abstractNumId w:val="1"/>
  </w:num>
  <w:num w:numId="3" w16cid:durableId="2030795750">
    <w:abstractNumId w:val="0"/>
  </w:num>
  <w:num w:numId="4" w16cid:durableId="988049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F42"/>
    <w:rsid w:val="0046726C"/>
    <w:rsid w:val="00846859"/>
    <w:rsid w:val="009A3E60"/>
    <w:rsid w:val="009E5F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6F4D"/>
  <w15:chartTrackingRefBased/>
  <w15:docId w15:val="{9FF8C899-2E28-4684-A754-BD7C3AEE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9715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Verbandsgemeindeverwaltung Birkenfeld</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Schörgenhummer, Melanie</dc:creator>
  <cp:keywords/>
  <dc:description/>
  <cp:lastModifiedBy>Schörgenhummer, Melanie</cp:lastModifiedBy>
  <cp:revision>2</cp:revision>
  <dcterms:created xsi:type="dcterms:W3CDTF">2024-09-25T10:25:00Z</dcterms:created>
  <dcterms:modified xsi:type="dcterms:W3CDTF">2026-07-02T13:11:00Z</dcterms:modified>
</cp:coreProperties>
</file>